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2563EB"/>
          <w:sz w:val="17"/>
        </w:rPr>
        <w:t>THE MARKETING OPS MANAGER  |  TEMPLATE</w:t>
      </w:r>
    </w:p>
    <w:p>
      <w:pPr>
        <w:spacing w:after="80"/>
      </w:pPr>
      <w:r>
        <w:rPr>
          <w:b/>
          <w:i w:val="0"/>
          <w:color w:val="172033"/>
          <w:sz w:val="44"/>
        </w:rPr>
        <w:t>Weekly marketing report template</w:t>
      </w:r>
    </w:p>
    <w:p>
      <w:r>
        <w:rPr>
          <w:b w:val="0"/>
          <w:i w:val="0"/>
          <w:color w:val="5B6474"/>
          <w:sz w:val="21"/>
        </w:rPr>
        <w:t>One page. Pull the numbers on the same weekday every week. Grey values are an example.</w:t>
      </w:r>
    </w:p>
    <w:p>
      <w:r>
        <w:rPr>
          <w:b w:val="0"/>
          <w:i/>
          <w:color w:val="8A94A6"/>
          <w:sz w:val="18"/>
        </w:rPr>
        <w:t>Grey italic text is an example. Replace it with your own content.</w:t>
      </w:r>
    </w:p>
    <w:p>
      <w:pPr>
        <w:keepNext/>
        <w:spacing w:before="280" w:after="80"/>
      </w:pPr>
      <w:r>
        <w:rPr>
          <w:b/>
          <w:i w:val="0"/>
          <w:color w:val="2563EB"/>
          <w:sz w:val="22"/>
        </w:rPr>
        <w:t>1. WEEK AT A GLANCE</w:t>
      </w:r>
    </w:p>
    <w:tbl>
      <w:tblPr>
        <w:tblStyle w:val="TableGrid"/>
        <w:tblW w:w="9636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EAF1FE"/>
          </w:tcPr>
          <w:p>
            <w:r>
              <w:rPr>
                <w:b/>
                <w:i w:val="0"/>
                <w:sz w:val="19"/>
              </w:rPr>
              <w:t>Metric</w:t>
            </w:r>
          </w:p>
        </w:tc>
        <w:tc>
          <w:tcPr>
            <w:tcW w:type="dxa" w:w="2409"/>
            <w:shd w:val="clear" w:color="auto" w:fill="EAF1FE"/>
          </w:tcPr>
          <w:p>
            <w:r>
              <w:rPr>
                <w:b/>
                <w:i w:val="0"/>
                <w:sz w:val="19"/>
              </w:rPr>
              <w:t>This week</w:t>
            </w:r>
          </w:p>
        </w:tc>
        <w:tc>
          <w:tcPr>
            <w:tcW w:type="dxa" w:w="2409"/>
            <w:shd w:val="clear" w:color="auto" w:fill="EAF1FE"/>
          </w:tcPr>
          <w:p>
            <w:r>
              <w:rPr>
                <w:b/>
                <w:i w:val="0"/>
                <w:sz w:val="19"/>
              </w:rPr>
              <w:t>Last week</w:t>
            </w:r>
          </w:p>
        </w:tc>
        <w:tc>
          <w:tcPr>
            <w:tcW w:type="dxa" w:w="2409"/>
            <w:shd w:val="clear" w:color="auto" w:fill="EAF1FE"/>
          </w:tcPr>
          <w:p>
            <w:r>
              <w:rPr>
                <w:b/>
                <w:i w:val="0"/>
                <w:sz w:val="19"/>
              </w:rPr>
              <w:t>Pace vs target</w:t>
            </w:r>
          </w:p>
        </w:tc>
      </w:tr>
      <w:tr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Qualified leads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46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41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On pace (target 45 a week)</w:t>
            </w:r>
          </w:p>
        </w:tc>
      </w:tr>
      <w:tr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Spend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$7,400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$7,100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Slightly ahead (budget $7,000)</w:t>
            </w:r>
          </w:p>
        </w:tc>
      </w:tr>
      <w:tr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Cost per qualified lead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$161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$173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Above target of $145</w:t>
            </w:r>
          </w:p>
        </w:tc>
      </w:tr>
      <w:tr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Visit-to-lead conversion rate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2.2%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2.0%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Below target of 2.4%</w:t>
            </w:r>
          </w:p>
        </w:tc>
      </w:tr>
      <w:t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2563EB"/>
          <w:sz w:val="22"/>
        </w:rPr>
        <w:t>2. WHAT CHANGED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Paused two non-brand search ad groups with no leads in 14 days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Published the webinar follow-up email with a single call to action</w:t>
      </w:r>
    </w:p>
    <w:p>
      <w:pPr>
        <w:ind w:left="113"/>
      </w:pPr>
      <w:r>
        <w:rPr>
          <w:b w:val="0"/>
          <w:i w:val="0"/>
          <w:sz w:val="24"/>
        </w:rPr>
        <w:t xml:space="preserve">☐  </w:t>
      </w:r>
      <w:r>
        <w:rPr>
          <w:b w:val="0"/>
          <w:i w:val="0"/>
          <w:sz w:val="21"/>
        </w:rPr>
        <w:t>Rankings for the pricing guide moved from position 9 to 6</w:t>
      </w:r>
    </w:p>
    <w:p>
      <w:pPr>
        <w:keepNext/>
        <w:spacing w:before="280" w:after="80"/>
      </w:pPr>
      <w:r>
        <w:rPr>
          <w:b/>
          <w:i w:val="0"/>
          <w:color w:val="2563EB"/>
          <w:sz w:val="22"/>
        </w:rPr>
        <w:t>3. ANOMALIES AND TRACKING CHECK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EAF1FE"/>
          </w:tcPr>
          <w:p>
            <w:r>
              <w:rPr>
                <w:b/>
                <w:i w:val="0"/>
                <w:sz w:val="20"/>
              </w:rPr>
              <w:t>Anything that moved more than you expected</w:t>
            </w:r>
          </w:p>
          <w:p>
            <w:r>
              <w:rPr>
                <w:b w:val="0"/>
                <w:i/>
                <w:color w:val="5B6474"/>
                <w:sz w:val="17"/>
              </w:rPr>
              <w:t>A number that jumped, fell or went to zero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Direct traffic up 30% on Tuesday, links in the webinar email were missing UTM parameters</w:t>
            </w:r>
          </w:p>
        </w:tc>
      </w:tr>
      <w:tr>
        <w:tc>
          <w:tcPr>
            <w:tcW w:type="dxa" w:w="2948"/>
            <w:shd w:val="clear" w:color="auto" w:fill="EAF1FE"/>
          </w:tcPr>
          <w:p>
            <w:r>
              <w:rPr>
                <w:b/>
                <w:i w:val="0"/>
                <w:sz w:val="20"/>
              </w:rPr>
              <w:t>Tracking and form check</w:t>
            </w:r>
          </w:p>
          <w:p>
            <w:r>
              <w:rPr>
                <w:b w:val="0"/>
                <w:i/>
                <w:color w:val="5B6474"/>
                <w:sz w:val="17"/>
              </w:rPr>
              <w:t>Did a test conversion on each main landing page reach the CRM this week?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Yes for webinar and demo pages; pricing page form not tested</w:t>
            </w:r>
          </w:p>
        </w:tc>
      </w:tr>
      <w:tr>
        <w:tc>
          <w:tcPr>
            <w:tcW w:type="dxa" w:w="2948"/>
            <w:shd w:val="clear" w:color="auto" w:fill="EAF1FE"/>
          </w:tcPr>
          <w:p>
            <w:r>
              <w:rPr>
                <w:b/>
                <w:i w:val="0"/>
                <w:sz w:val="20"/>
              </w:rPr>
              <w:t>Data delays</w:t>
            </w:r>
          </w:p>
          <w:p>
            <w:r>
              <w:rPr>
                <w:b w:val="0"/>
                <w:i/>
                <w:color w:val="5B6474"/>
                <w:sz w:val="17"/>
              </w:rPr>
              <w:t>Any source that hadn't finished reporting when you pulled the numbers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Analytics figures for Sunday still processing, shown as provisional</w:t>
            </w:r>
          </w:p>
        </w:tc>
      </w:tr>
    </w:tbl>
    <w:p>
      <w:pPr>
        <w:keepNext/>
        <w:spacing w:before="280" w:after="80"/>
      </w:pPr>
      <w:r>
        <w:rPr>
          <w:b/>
          <w:i w:val="0"/>
          <w:color w:val="2563EB"/>
          <w:sz w:val="22"/>
        </w:rPr>
        <w:t>4. TESTS NEXT WEEK</w:t>
      </w:r>
    </w:p>
    <w:tbl>
      <w:tblPr>
        <w:tblStyle w:val="TableGrid"/>
        <w:tblW w:w="9636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EAF1FE"/>
          </w:tcPr>
          <w:p>
            <w:r>
              <w:rPr>
                <w:b/>
                <w:i w:val="0"/>
                <w:sz w:val="19"/>
              </w:rPr>
              <w:t>Test</w:t>
            </w:r>
          </w:p>
        </w:tc>
        <w:tc>
          <w:tcPr>
            <w:tcW w:type="dxa" w:w="2409"/>
            <w:shd w:val="clear" w:color="auto" w:fill="EAF1FE"/>
          </w:tcPr>
          <w:p>
            <w:r>
              <w:rPr>
                <w:b/>
                <w:i w:val="0"/>
                <w:sz w:val="19"/>
              </w:rPr>
              <w:t>Hypothesis</w:t>
            </w:r>
          </w:p>
        </w:tc>
        <w:tc>
          <w:tcPr>
            <w:tcW w:type="dxa" w:w="2409"/>
            <w:shd w:val="clear" w:color="auto" w:fill="EAF1FE"/>
          </w:tcPr>
          <w:p>
            <w:r>
              <w:rPr>
                <w:b/>
                <w:i w:val="0"/>
                <w:sz w:val="19"/>
              </w:rPr>
              <w:t>Metric</w:t>
            </w:r>
          </w:p>
        </w:tc>
        <w:tc>
          <w:tcPr>
            <w:tcW w:type="dxa" w:w="2409"/>
            <w:shd w:val="clear" w:color="auto" w:fill="EAF1FE"/>
          </w:tcPr>
          <w:p>
            <w:r>
              <w:rPr>
                <w:b/>
                <w:i w:val="0"/>
                <w:sz w:val="19"/>
              </w:rPr>
              <w:t>Owner</w:t>
            </w:r>
          </w:p>
        </w:tc>
      </w:tr>
      <w:tr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Single call to action in nurture email 2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Fewer links raise clicks to the demo page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Click rate to demo page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Lifecycle manager</w:t>
            </w:r>
          </w:p>
        </w:tc>
      </w:tr>
      <w:tr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Narrower paid social audience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Lower frequency reduces cost per lead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Frequency, cost per lead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Paid media lead</w:t>
            </w:r>
          </w:p>
        </w:tc>
      </w:tr>
      <w:t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2563EB"/>
          <w:sz w:val="22"/>
        </w:rPr>
        <w:t>5. BLOCKERS AND DECISIONS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EAF1FE"/>
          </w:tcPr>
          <w:p>
            <w:r>
              <w:rPr>
                <w:b/>
                <w:i w:val="0"/>
                <w:sz w:val="20"/>
              </w:rPr>
              <w:t>Blocked by</w:t>
            </w:r>
          </w:p>
          <w:p>
            <w:r>
              <w:rPr>
                <w:b w:val="0"/>
                <w:i/>
                <w:color w:val="5B6474"/>
                <w:sz w:val="17"/>
              </w:rPr>
              <w:t>Person or team and what you need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Web team: redirect on the pricing page strips parameters</w:t>
            </w:r>
          </w:p>
        </w:tc>
      </w:tr>
      <w:tr>
        <w:tc>
          <w:tcPr>
            <w:tcW w:type="dxa" w:w="2948"/>
            <w:shd w:val="clear" w:color="auto" w:fill="EAF1FE"/>
          </w:tcPr>
          <w:p>
            <w:r>
              <w:rPr>
                <w:b/>
                <w:i w:val="0"/>
                <w:sz w:val="20"/>
              </w:rPr>
              <w:t>Decision needed this week</w:t>
            </w:r>
          </w:p>
          <w:p>
            <w:r>
              <w:rPr>
                <w:b w:val="0"/>
                <w:i/>
                <w:color w:val="5B6474"/>
                <w:sz w:val="17"/>
              </w:rPr>
              <w:t>Leave blank if none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Approve $1,000 test budget for search ad group split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B6474"/>
        <w:sz w:val="16"/>
      </w:rPr>
      <w:t>The Marketing Ops Manager  |  themarketingopsmanager.com/blog/marketing-report-template  |  Free template,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marketing report template</dc:title>
  <dc:subject/>
  <dc:creator>The Marketing Ops Manager</dc:creator>
  <cp:keywords/>
  <dc:description>themarketingopsmanager.com/blog/marketing-report-template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