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2563EB"/>
          <w:sz w:val="17"/>
        </w:rPr>
        <w:t>THE MARKETING OPS MANAGER  |  TEMPLATE</w:t>
      </w:r>
    </w:p>
    <w:p>
      <w:pPr>
        <w:spacing w:after="80"/>
      </w:pPr>
      <w:r>
        <w:rPr>
          <w:b/>
          <w:i w:val="0"/>
          <w:color w:val="172033"/>
          <w:sz w:val="44"/>
        </w:rPr>
        <w:t>Monthly marketing report template</w:t>
      </w:r>
    </w:p>
    <w:p>
      <w:r>
        <w:rPr>
          <w:b w:val="0"/>
          <w:i w:val="0"/>
          <w:color w:val="5B6474"/>
          <w:sz w:val="21"/>
        </w:rPr>
        <w:t>Grey values are an example (a made-up B2B software team). Hints under each field say what to write. Replace both before you send.</w:t>
      </w:r>
    </w:p>
    <w:p>
      <w:r>
        <w:rPr>
          <w:b w:val="0"/>
          <w:i/>
          <w:color w:val="8A94A6"/>
          <w:sz w:val="18"/>
        </w:rPr>
        <w:t>Grey italic text is an example. Replace it with your own content.</w:t>
      </w:r>
    </w:p>
    <w:p>
      <w:pPr>
        <w:keepNext/>
        <w:spacing w:before="280" w:after="80"/>
      </w:pPr>
      <w:r>
        <w:rPr>
          <w:b/>
          <w:i w:val="0"/>
          <w:color w:val="2563EB"/>
          <w:sz w:val="22"/>
        </w:rPr>
        <w:t>1. REPORT HEADER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EAF1FE"/>
          </w:tcPr>
          <w:p>
            <w:r>
              <w:rPr>
                <w:b/>
                <w:i w:val="0"/>
                <w:sz w:val="20"/>
              </w:rPr>
              <w:t>Report period</w:t>
            </w:r>
          </w:p>
          <w:p>
            <w:r>
              <w:rPr>
                <w:b w:val="0"/>
                <w:i/>
                <w:color w:val="5B6474"/>
                <w:sz w:val="17"/>
              </w:rPr>
              <w:t>Calendar month, start and end date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October 1 to October 31</w:t>
            </w:r>
          </w:p>
        </w:tc>
      </w:tr>
      <w:tr>
        <w:tc>
          <w:tcPr>
            <w:tcW w:type="dxa" w:w="2948"/>
            <w:shd w:val="clear" w:color="auto" w:fill="EAF1FE"/>
          </w:tcPr>
          <w:p>
            <w:r>
              <w:rPr>
                <w:b/>
                <w:i w:val="0"/>
                <w:sz w:val="20"/>
              </w:rPr>
              <w:t>Reader and decision</w:t>
            </w:r>
          </w:p>
          <w:p>
            <w:r>
              <w:rPr>
                <w:b w:val="0"/>
                <w:i/>
                <w:color w:val="5B6474"/>
                <w:sz w:val="17"/>
              </w:rPr>
              <w:t>Who reads it and what they decide with it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VP Marketing, approves November budget split</w:t>
            </w:r>
          </w:p>
        </w:tc>
      </w:tr>
      <w:tr>
        <w:tc>
          <w:tcPr>
            <w:tcW w:type="dxa" w:w="2948"/>
            <w:shd w:val="clear" w:color="auto" w:fill="EAF1FE"/>
          </w:tcPr>
          <w:p>
            <w:r>
              <w:rPr>
                <w:b/>
                <w:i w:val="0"/>
                <w:sz w:val="20"/>
              </w:rPr>
              <w:t>Data cut-off</w:t>
            </w:r>
          </w:p>
          <w:p>
            <w:r>
              <w:rPr>
                <w:b w:val="0"/>
                <w:i/>
                <w:color w:val="5B6474"/>
                <w:sz w:val="17"/>
              </w:rPr>
              <w:t>The date you pulled the numbers, at least 48 hours after period end for analytics data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November 3</w:t>
            </w:r>
          </w:p>
        </w:tc>
      </w:tr>
      <w:tr>
        <w:tc>
          <w:tcPr>
            <w:tcW w:type="dxa" w:w="2948"/>
            <w:shd w:val="clear" w:color="auto" w:fill="EAF1FE"/>
          </w:tcPr>
          <w:p>
            <w:r>
              <w:rPr>
                <w:b/>
                <w:i w:val="0"/>
                <w:sz w:val="20"/>
              </w:rPr>
              <w:t>Prepared by</w:t>
            </w:r>
          </w:p>
          <w:p>
            <w:r>
              <w:rPr>
                <w:b w:val="0"/>
                <w:i/>
                <w:color w:val="5B6474"/>
                <w:sz w:val="17"/>
              </w:rPr>
              <w:t>One named owner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Marketing operations manager</w:t>
            </w:r>
          </w:p>
        </w:tc>
      </w:tr>
    </w:tbl>
    <w:p>
      <w:pPr>
        <w:keepNext/>
        <w:spacing w:before="280" w:after="80"/>
      </w:pPr>
      <w:r>
        <w:rPr>
          <w:b/>
          <w:i w:val="0"/>
          <w:color w:val="2563EB"/>
          <w:sz w:val="22"/>
        </w:rPr>
        <w:t>2. EXECUTIVE SUMMARY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EAF1FE"/>
          </w:tcPr>
          <w:p>
            <w:r>
              <w:rPr>
                <w:b/>
                <w:i w:val="0"/>
                <w:sz w:val="20"/>
              </w:rPr>
              <w:t>Headline</w:t>
            </w:r>
          </w:p>
          <w:p>
            <w:r>
              <w:rPr>
                <w:b w:val="0"/>
                <w:i/>
                <w:color w:val="5B6474"/>
                <w:sz w:val="17"/>
              </w:rPr>
              <w:t>One sentence: result against goal and the main reason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Qualified leads beat target by 9%, but pipeline finished 8% short because cost per lead rose to $162.</w:t>
            </w:r>
          </w:p>
        </w:tc>
      </w:tr>
      <w:tr>
        <w:tc>
          <w:tcPr>
            <w:tcW w:type="dxa" w:w="2948"/>
            <w:shd w:val="clear" w:color="auto" w:fill="EAF1FE"/>
          </w:tcPr>
          <w:p>
            <w:r>
              <w:rPr>
                <w:b/>
                <w:i w:val="0"/>
                <w:sz w:val="20"/>
              </w:rPr>
              <w:t>What changed</w:t>
            </w:r>
          </w:p>
          <w:p>
            <w:r>
              <w:rPr>
                <w:b w:val="0"/>
                <w:i/>
                <w:color w:val="5B6474"/>
                <w:sz w:val="17"/>
              </w:rPr>
              <w:t>Three bullets at most, each with a number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Paid social cost per lead up 18%; webinar series added 41 leads; organic non-branded sessions up 9%</w:t>
            </w:r>
          </w:p>
        </w:tc>
      </w:tr>
      <w:tr>
        <w:tc>
          <w:tcPr>
            <w:tcW w:type="dxa" w:w="2948"/>
            <w:shd w:val="clear" w:color="auto" w:fill="EAF1FE"/>
          </w:tcPr>
          <w:p>
            <w:r>
              <w:rPr>
                <w:b/>
                <w:i w:val="0"/>
                <w:sz w:val="20"/>
              </w:rPr>
              <w:t>Decision needed</w:t>
            </w:r>
          </w:p>
          <w:p>
            <w:r>
              <w:rPr>
                <w:b w:val="0"/>
                <w:i/>
                <w:color w:val="5B6474"/>
                <w:sz w:val="17"/>
              </w:rPr>
              <w:t>What you need from the reader, with a deadline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Approve moving $4,000 from paid social to paid search by November 8</w:t>
            </w:r>
          </w:p>
        </w:tc>
      </w:tr>
    </w:tbl>
    <w:p>
      <w:pPr>
        <w:keepNext/>
        <w:spacing w:before="280" w:after="80"/>
      </w:pPr>
      <w:r>
        <w:rPr>
          <w:b/>
          <w:i w:val="0"/>
          <w:color w:val="2563EB"/>
          <w:sz w:val="22"/>
        </w:rPr>
        <w:t>3. KPIS AGAINST TARGETS</w:t>
      </w:r>
    </w:p>
    <w:tbl>
      <w:tblPr>
        <w:tblStyle w:val="TableGrid"/>
        <w:tblW w:w="9640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EAF1FE"/>
          </w:tcPr>
          <w:p>
            <w:r>
              <w:rPr>
                <w:b/>
                <w:i w:val="0"/>
                <w:sz w:val="19"/>
              </w:rPr>
              <w:t>Metric</w:t>
            </w:r>
          </w:p>
        </w:tc>
        <w:tc>
          <w:tcPr>
            <w:tcW w:type="dxa" w:w="1928"/>
            <w:shd w:val="clear" w:color="auto" w:fill="EAF1FE"/>
          </w:tcPr>
          <w:p>
            <w:r>
              <w:rPr>
                <w:b/>
                <w:i w:val="0"/>
                <w:sz w:val="19"/>
              </w:rPr>
              <w:t>Target</w:t>
            </w:r>
          </w:p>
        </w:tc>
        <w:tc>
          <w:tcPr>
            <w:tcW w:type="dxa" w:w="1928"/>
            <w:shd w:val="clear" w:color="auto" w:fill="EAF1FE"/>
          </w:tcPr>
          <w:p>
            <w:r>
              <w:rPr>
                <w:b/>
                <w:i w:val="0"/>
                <w:sz w:val="19"/>
              </w:rPr>
              <w:t>Actual</w:t>
            </w:r>
          </w:p>
        </w:tc>
        <w:tc>
          <w:tcPr>
            <w:tcW w:type="dxa" w:w="1928"/>
            <w:shd w:val="clear" w:color="auto" w:fill="EAF1FE"/>
          </w:tcPr>
          <w:p>
            <w:r>
              <w:rPr>
                <w:b/>
                <w:i w:val="0"/>
                <w:sz w:val="19"/>
              </w:rPr>
              <w:t>vs target</w:t>
            </w:r>
          </w:p>
        </w:tc>
        <w:tc>
          <w:tcPr>
            <w:tcW w:type="dxa" w:w="1928"/>
            <w:shd w:val="clear" w:color="auto" w:fill="EAF1FE"/>
          </w:tcPr>
          <w:p>
            <w:r>
              <w:rPr>
                <w:b/>
                <w:i w:val="0"/>
                <w:sz w:val="19"/>
              </w:rPr>
              <w:t>vs last month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Marketing-sourced pipeline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$250,000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$231,000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-8%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+6%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Qualified leads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180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196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+9%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+4%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Cost per qualified lead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$145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$162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+12%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+7%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Spend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$30,000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$31,750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+6%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+3%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Visit-to-lead conversion rate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2.4%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2.1%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-0.3 pts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-0.1 pts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Organic non-branded sessions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14,000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15,300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+9%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+5%</w:t>
            </w:r>
          </w:p>
        </w:tc>
      </w:tr>
      <w:t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2563EB"/>
          <w:sz w:val="22"/>
        </w:rPr>
        <w:t>4. RESULTS BY CHANNEL</w:t>
      </w:r>
    </w:p>
    <w:tbl>
      <w:tblPr>
        <w:tblStyle w:val="TableGrid"/>
        <w:tblW w:w="9640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EAF1FE"/>
          </w:tcPr>
          <w:p>
            <w:r>
              <w:rPr>
                <w:b/>
                <w:i w:val="0"/>
                <w:sz w:val="19"/>
              </w:rPr>
              <w:t>Channel</w:t>
            </w:r>
          </w:p>
        </w:tc>
        <w:tc>
          <w:tcPr>
            <w:tcW w:type="dxa" w:w="1928"/>
            <w:shd w:val="clear" w:color="auto" w:fill="EAF1FE"/>
          </w:tcPr>
          <w:p>
            <w:r>
              <w:rPr>
                <w:b/>
                <w:i w:val="0"/>
                <w:sz w:val="19"/>
              </w:rPr>
              <w:t>Spend</w:t>
            </w:r>
          </w:p>
        </w:tc>
        <w:tc>
          <w:tcPr>
            <w:tcW w:type="dxa" w:w="1928"/>
            <w:shd w:val="clear" w:color="auto" w:fill="EAF1FE"/>
          </w:tcPr>
          <w:p>
            <w:r>
              <w:rPr>
                <w:b/>
                <w:i w:val="0"/>
                <w:sz w:val="19"/>
              </w:rPr>
              <w:t>Qualified leads</w:t>
            </w:r>
          </w:p>
        </w:tc>
        <w:tc>
          <w:tcPr>
            <w:tcW w:type="dxa" w:w="1928"/>
            <w:shd w:val="clear" w:color="auto" w:fill="EAF1FE"/>
          </w:tcPr>
          <w:p>
            <w:r>
              <w:rPr>
                <w:b/>
                <w:i w:val="0"/>
                <w:sz w:val="19"/>
              </w:rPr>
              <w:t>Cost per lead</w:t>
            </w:r>
          </w:p>
        </w:tc>
        <w:tc>
          <w:tcPr>
            <w:tcW w:type="dxa" w:w="1928"/>
            <w:shd w:val="clear" w:color="auto" w:fill="EAF1FE"/>
          </w:tcPr>
          <w:p>
            <w:r>
              <w:rPr>
                <w:b/>
                <w:i w:val="0"/>
                <w:sz w:val="19"/>
              </w:rPr>
              <w:t>One-line note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Paid search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$14,000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88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$159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Branded terms steady, two non-brand ad groups paused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Paid social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$9,500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46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$207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Frequency above 4 on the main audience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Email and webinars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$3,250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41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$79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October webinar converted 14% of registrants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Organic search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$5,000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21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$238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Content and tooling cost, leads from guide downloads</w:t>
            </w:r>
          </w:p>
        </w:tc>
      </w:tr>
      <w:t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2563EB"/>
          <w:sz w:val="22"/>
        </w:rPr>
        <w:t>5. WHAT WE LEARNED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EAF1FE"/>
          </w:tcPr>
          <w:p>
            <w:r>
              <w:rPr>
                <w:b/>
                <w:i w:val="0"/>
                <w:sz w:val="20"/>
              </w:rPr>
              <w:t>What worked</w:t>
            </w:r>
          </w:p>
          <w:p>
            <w:r>
              <w:rPr>
                <w:b w:val="0"/>
                <w:i/>
                <w:color w:val="5B6474"/>
                <w:sz w:val="17"/>
              </w:rPr>
              <w:t>One result and the likely reason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Webinar follow-up email with one call to action converted better than the three-link version</w:t>
            </w:r>
          </w:p>
        </w:tc>
      </w:tr>
      <w:tr>
        <w:tc>
          <w:tcPr>
            <w:tcW w:type="dxa" w:w="2948"/>
            <w:shd w:val="clear" w:color="auto" w:fill="EAF1FE"/>
          </w:tcPr>
          <w:p>
            <w:r>
              <w:rPr>
                <w:b/>
                <w:i w:val="0"/>
                <w:sz w:val="20"/>
              </w:rPr>
              <w:t>What did not</w:t>
            </w:r>
          </w:p>
          <w:p>
            <w:r>
              <w:rPr>
                <w:b w:val="0"/>
                <w:i/>
                <w:color w:val="5B6474"/>
                <w:sz w:val="17"/>
              </w:rPr>
              <w:t>One result and what you'll stop or change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Lookalike audience on paid social: cost per lead rose for the third month</w:t>
            </w:r>
          </w:p>
        </w:tc>
      </w:tr>
    </w:tbl>
    <w:p>
      <w:pPr>
        <w:keepNext/>
        <w:spacing w:before="280" w:after="80"/>
      </w:pPr>
      <w:r>
        <w:rPr>
          <w:b/>
          <w:i w:val="0"/>
          <w:color w:val="2563EB"/>
          <w:sz w:val="22"/>
        </w:rPr>
        <w:t>6. NEXT MONTH</w:t>
      </w:r>
    </w:p>
    <w:tbl>
      <w:tblPr>
        <w:tblStyle w:val="TableGrid"/>
        <w:tblW w:w="9636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EAF1FE"/>
          </w:tcPr>
          <w:p>
            <w:r>
              <w:rPr>
                <w:b/>
                <w:i w:val="0"/>
                <w:sz w:val="19"/>
              </w:rPr>
              <w:t>Priority</w:t>
            </w:r>
          </w:p>
        </w:tc>
        <w:tc>
          <w:tcPr>
            <w:tcW w:type="dxa" w:w="2409"/>
            <w:shd w:val="clear" w:color="auto" w:fill="EAF1FE"/>
          </w:tcPr>
          <w:p>
            <w:r>
              <w:rPr>
                <w:b/>
                <w:i w:val="0"/>
                <w:sz w:val="19"/>
              </w:rPr>
              <w:t>Owner</w:t>
            </w:r>
          </w:p>
        </w:tc>
        <w:tc>
          <w:tcPr>
            <w:tcW w:type="dxa" w:w="2409"/>
            <w:shd w:val="clear" w:color="auto" w:fill="EAF1FE"/>
          </w:tcPr>
          <w:p>
            <w:r>
              <w:rPr>
                <w:b/>
                <w:i w:val="0"/>
                <w:sz w:val="19"/>
              </w:rPr>
              <w:t>Hypothesis</w:t>
            </w:r>
          </w:p>
        </w:tc>
        <w:tc>
          <w:tcPr>
            <w:tcW w:type="dxa" w:w="2409"/>
            <w:shd w:val="clear" w:color="auto" w:fill="EAF1FE"/>
          </w:tcPr>
          <w:p>
            <w:r>
              <w:rPr>
                <w:b/>
                <w:i w:val="0"/>
                <w:sz w:val="19"/>
              </w:rPr>
              <w:t>Metric to judge it</w:t>
            </w:r>
          </w:p>
        </w:tc>
      </w:tr>
      <w:tr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Shift $4,000 to paid search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Paid media lead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Search captures the demand that social no longer converts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Cost per qualified lead under $150</w:t>
            </w:r>
          </w:p>
        </w:tc>
      </w:tr>
      <w:tr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Rebuild the paid social audience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Paid media lead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A narrower audience lowers frequency and cost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Frequency under 3, cost per lead</w:t>
            </w:r>
          </w:p>
        </w:tc>
      </w:tr>
      <w:tr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Repeat the webinar format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Lifecycle manager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A second session at the same cost adds leads at a lower cost per lead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Qualified leads per session</w:t>
            </w:r>
          </w:p>
        </w:tc>
      </w:tr>
      <w:t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2563EB"/>
          <w:sz w:val="22"/>
        </w:rPr>
        <w:t>7. DATA NOTES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Source of truth per metric named (web analytics, ad platforms, CRM)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Tracking, form, redirect or consent changes during the period listed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Leads in analytics reconciled to leads in the CRM, gap explained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Definitions or targets that changed since last month marked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B6474"/>
        <w:sz w:val="16"/>
      </w:rPr>
      <w:t>The Marketing Ops Manager  |  themarketingopsmanager.com/blog/marketing-report-template  |  Free template,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marketing report template</dc:title>
  <dc:subject/>
  <dc:creator>The Marketing Ops Manager</dc:creator>
  <cp:keywords/>
  <dc:description>themarketingopsmanager.com/blog/marketing-report-template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